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5.odttf" ContentType="application/vnd.openxmlformats-officedocument.obfuscatedFont"/>
  <Override PartName="/word/fonts/font10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jc w:val="center"/>
        <w:rPr>
          <w:rFonts w:ascii="Avenir Next Cyr" w:hAnsi="Avenir Next Cyr"/>
          <w:b/>
        </w:rPr>
      </w:pPr>
      <w:r>
        <w:rPr/>
        <mc:AlternateContent>
          <mc:Choice Requires="wps">
            <w:drawing>
              <wp:inline distT="0" distB="0" distL="0" distR="0">
                <wp:extent cx="1543050" cy="54292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542960" cy="54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42.8pt;width:121.45pt;height:42.7pt;mso-wrap-style:none;v-text-anchor:middle;mso-position-vertical:top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before="0" w:after="0"/>
        <w:rPr>
          <w:rFonts w:ascii="Avenir Next Cyr" w:hAnsi="Avenir Next Cyr"/>
          <w:b/>
        </w:rPr>
      </w:pPr>
      <w:r>
        <w:rPr>
          <w:rFonts w:ascii="Avenir Next Cyr" w:hAnsi="Avenir Next Cyr"/>
          <w:b/>
        </w:rPr>
      </w:r>
    </w:p>
    <w:p>
      <w:pPr>
        <w:pStyle w:val="Normal"/>
        <w:jc w:val="center"/>
        <w:rPr>
          <w:rFonts w:ascii="Avenir Next Cyr" w:hAnsi="Avenir Next Cyr"/>
          <w:b/>
          <w:sz w:val="18"/>
          <w:szCs w:val="18"/>
        </w:rPr>
      </w:pPr>
      <w:r>
        <w:rPr>
          <w:rFonts w:ascii="Avenir Next Cyr" w:hAnsi="Avenir Next Cyr"/>
          <w:b/>
          <w:sz w:val="18"/>
          <w:szCs w:val="18"/>
        </w:rPr>
        <w:t>Акционерное общество «Южные электрические сети Камчатки»</w:t>
      </w:r>
    </w:p>
    <w:p>
      <w:pPr>
        <w:pStyle w:val="Normal"/>
        <w:jc w:val="center"/>
        <w:rPr>
          <w:rFonts w:ascii="Avenir Next Cyr" w:hAnsi="Avenir Next Cyr"/>
          <w:b/>
          <w:sz w:val="18"/>
          <w:szCs w:val="18"/>
        </w:rPr>
      </w:pPr>
      <w:r>
        <w:rPr>
          <w:rFonts w:ascii="Avenir Next Cyr" w:hAnsi="Avenir Next Cyr"/>
          <w:b/>
          <w:sz w:val="18"/>
          <w:szCs w:val="18"/>
        </w:rPr>
        <w:t>(АО «ЮЭСК»)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ул. Тундровая, 2, Петропавловск-Камчатский, Россия,683009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Тел.(4152) 41-73-68 Факс (4152)22-43-23, E-mail: uesk-sekr@kamenergo.ru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ОКПО 71823314, ОГРН 1054100032744, ИНН/КПП 4101101796/ 410101001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4"/>
          <w:szCs w:val="24"/>
        </w:rPr>
      </w:pPr>
      <w:r>
        <w:rPr>
          <w:rFonts w:ascii="Avenir Next Cyr" w:hAnsi="Avenir Next Cyr"/>
          <w:b/>
          <w:sz w:val="24"/>
          <w:szCs w:val="24"/>
        </w:rPr>
      </w:r>
    </w:p>
    <w:p>
      <w:pPr>
        <w:pStyle w:val="Normal"/>
        <w:spacing w:before="0" w:after="0"/>
        <w:rPr>
          <w:rFonts w:ascii="Avenir Next Cyr" w:hAnsi="Avenir Next Cyr"/>
          <w:b/>
          <w:sz w:val="16"/>
          <w:szCs w:val="16"/>
        </w:rPr>
      </w:pPr>
      <w:r>
        <w:rPr>
          <w:rFonts w:ascii="Avenir Next Cyr" w:hAnsi="Avenir Next Cyr"/>
          <w:b/>
          <w:sz w:val="20"/>
          <w:szCs w:val="20"/>
        </w:rPr>
        <w:t xml:space="preserve">                                           </w:t>
      </w:r>
      <w:r>
        <w:rPr>
          <w:rFonts w:ascii="Avenir Next Cyr" w:hAnsi="Avenir Next Cyr"/>
          <w:b/>
          <w:sz w:val="16"/>
          <w:szCs w:val="16"/>
        </w:rPr>
        <w:t>______________________________________ №_____________________________________________</w:t>
      </w:r>
    </w:p>
    <w:p>
      <w:pPr>
        <w:pStyle w:val="Normal"/>
        <w:spacing w:before="0" w:after="0"/>
        <w:rPr>
          <w:rFonts w:ascii="Avenir Next Cyr" w:hAnsi="Avenir Next Cyr"/>
          <w:b/>
          <w:sz w:val="16"/>
          <w:szCs w:val="16"/>
        </w:rPr>
      </w:pPr>
      <w:r>
        <w:rPr>
          <w:rFonts w:ascii="Avenir Next Cyr" w:hAnsi="Avenir Next Cyr"/>
          <w:b/>
          <w:sz w:val="16"/>
          <w:szCs w:val="16"/>
        </w:rPr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  <w:t xml:space="preserve">                                               </w:t>
      </w:r>
      <w:r>
        <w:rPr>
          <w:rFonts w:ascii="Avenir Next Cyr" w:hAnsi="Avenir Next Cyr"/>
          <w:b/>
          <w:bCs/>
          <w:sz w:val="16"/>
          <w:szCs w:val="16"/>
        </w:rPr>
        <w:t>на №____</w:t>
      </w:r>
      <w:r>
        <w:rPr>
          <w:rFonts w:ascii="Avenir Next Cyr" w:hAnsi="Avenir Next Cyr"/>
          <w:b/>
          <w:sz w:val="16"/>
          <w:szCs w:val="16"/>
        </w:rPr>
        <w:t>_________________________________</w:t>
      </w:r>
      <w:r>
        <w:rPr>
          <w:rFonts w:ascii="Avenir Next Cyr" w:hAnsi="Avenir Next Cyr"/>
          <w:b/>
          <w:bCs/>
          <w:sz w:val="16"/>
          <w:szCs w:val="16"/>
        </w:rPr>
        <w:t>от____</w:t>
      </w:r>
      <w:r>
        <w:rPr>
          <w:rFonts w:ascii="Avenir Next Cyr" w:hAnsi="Avenir Next Cyr"/>
          <w:b/>
          <w:sz w:val="16"/>
          <w:szCs w:val="16"/>
        </w:rPr>
        <w:t>_________</w:t>
      </w:r>
      <w:r>
        <w:rPr>
          <w:rFonts w:ascii="Avenir Next Cyr" w:hAnsi="Avenir Next Cyr"/>
          <w:b/>
          <w:bCs/>
          <w:sz w:val="16"/>
          <w:szCs w:val="16"/>
        </w:rPr>
        <w:t>_</w:t>
      </w:r>
      <w:r>
        <w:rPr>
          <w:rFonts w:ascii="Avenir Next Cyr" w:hAnsi="Avenir Next Cyr"/>
          <w:b/>
          <w:sz w:val="16"/>
          <w:szCs w:val="16"/>
        </w:rPr>
        <w:t>_____________________________</w:t>
      </w:r>
      <w:r>
        <w:rPr>
          <w:rFonts w:ascii="Avenir Next Cyr" w:hAnsi="Avenir Next Cyr"/>
          <w:b/>
          <w:bCs/>
          <w:sz w:val="16"/>
          <w:szCs w:val="16"/>
        </w:rPr>
        <w:t>__</w:t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</w:r>
    </w:p>
    <w:p>
      <w:pPr>
        <w:pStyle w:val="Normal"/>
        <w:widowControl w:val="false"/>
        <w:tabs>
          <w:tab w:val="clear" w:pos="708"/>
          <w:tab w:val="left" w:pos="0" w:leader="none"/>
        </w:tabs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Д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инамика аварийности (в том числе экономического ущерба) за 202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1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год в сравнении с 20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20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и 20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19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гг.</w:t>
      </w:r>
    </w:p>
    <w:tbl>
      <w:tblPr>
        <w:tblW w:w="1535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4502"/>
        <w:gridCol w:w="10849"/>
      </w:tblGrid>
      <w:tr>
        <w:trPr/>
        <w:tc>
          <w:tcPr>
            <w:tcW w:w="4502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21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27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й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2020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48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 xml:space="preserve">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и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2019 –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8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й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/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10849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</w:tr>
    </w:tbl>
    <w:p>
      <w:pPr>
        <w:pStyle w:val="Normal"/>
        <w:widowControl w:val="false"/>
        <w:spacing w:lineRule="exact" w:line="400" w:before="0" w:after="0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В 202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1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у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– произошло </w:t>
      </w:r>
      <w:r>
        <w:rPr>
          <w:rFonts w:cs="Times New Roman" w:ascii="Times New Roman" w:hAnsi="Times New Roman"/>
          <w:b/>
          <w:color w:val="0D0D0D"/>
          <w:sz w:val="28"/>
          <w:szCs w:val="28"/>
          <w:lang w:eastAsia="x-none"/>
        </w:rPr>
        <w:t>27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авари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й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, в сравнении с аналогичным периодом 20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20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года аварийность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снизилась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на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43,75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% или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21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случа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й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, а в сравнении с 201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9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годом аварийность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увеличилось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237,5%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ил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и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19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случа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ев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.</w:t>
      </w:r>
    </w:p>
    <w:p>
      <w:pPr>
        <w:pStyle w:val="Normal"/>
        <w:widowControl w:val="false"/>
        <w:spacing w:lineRule="exact" w:line="400" w:before="0" w:after="0"/>
        <w:jc w:val="right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</w:r>
    </w:p>
    <w:tbl>
      <w:tblPr>
        <w:tblW w:w="10314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945"/>
        <w:gridCol w:w="1282"/>
        <w:gridCol w:w="2834"/>
        <w:gridCol w:w="4252"/>
      </w:tblGrid>
      <w:tr>
        <w:trPr>
          <w:trHeight w:val="1077" w:hRule="atLeast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ВСЕГО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В том числе -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по вине персонала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АО «ЮЭСК»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В том числе - аварии, расследование которых осуществляет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Ростехнадзор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(по п.4. Правил расследования причин аварий в эл/энергетике)</w:t>
            </w:r>
          </w:p>
        </w:tc>
      </w:tr>
      <w:tr>
        <w:trPr>
          <w:trHeight w:val="741" w:hRule="atLeast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1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>
        <w:trPr/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2020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48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>
        <w:trPr/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2019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Распределение аварий по подразделениям АО «ЮЭСК»:</w:t>
      </w:r>
    </w:p>
    <w:tbl>
      <w:tblPr>
        <w:tblW w:w="1032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364"/>
        <w:gridCol w:w="613"/>
        <w:gridCol w:w="641"/>
        <w:gridCol w:w="627"/>
        <w:gridCol w:w="614"/>
        <w:gridCol w:w="614"/>
        <w:gridCol w:w="641"/>
        <w:gridCol w:w="791"/>
        <w:gridCol w:w="790"/>
        <w:gridCol w:w="846"/>
        <w:gridCol w:w="1023"/>
        <w:gridCol w:w="859"/>
        <w:gridCol w:w="900"/>
      </w:tblGrid>
      <w:tr>
        <w:trPr>
          <w:trHeight w:val="220" w:hRule="atLeast"/>
          <w:cantSplit w:val="true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4"/>
              <w:keepNext w:val="false"/>
              <w:widowControl w:val="false"/>
              <w:tabs>
                <w:tab w:val="clear" w:pos="708"/>
                <w:tab w:val="left" w:pos="1091" w:leader="none"/>
                <w:tab w:val="left" w:pos="1473" w:leader="none"/>
              </w:tabs>
              <w:spacing w:lineRule="exact" w:line="400"/>
              <w:ind w:right="-163" w:hanging="0"/>
              <w:jc w:val="center"/>
              <w:rPr>
                <w:rFonts w:eastAsia="Arial Unicode MS"/>
                <w:b/>
                <w:bCs/>
                <w:i w:val="false"/>
                <w:i w:val="false"/>
                <w:color w:val="0D0D0D"/>
                <w:sz w:val="20"/>
                <w:szCs w:val="20"/>
              </w:rPr>
            </w:pPr>
            <w:r>
              <w:rPr>
                <w:b/>
                <w:i w:val="false"/>
                <w:color w:val="0D0D0D"/>
                <w:sz w:val="20"/>
                <w:szCs w:val="20"/>
              </w:rPr>
              <w:t>Энерго-предприятия</w:t>
            </w:r>
          </w:p>
        </w:tc>
        <w:tc>
          <w:tcPr>
            <w:tcW w:w="37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8"/>
              <w:keepNext w:val="false"/>
              <w:widowControl w:val="false"/>
              <w:spacing w:lineRule="exact" w:line="400"/>
              <w:ind w:hanging="0"/>
              <w:jc w:val="center"/>
              <w:rPr>
                <w:bCs w:val="false"/>
                <w:color w:val="0D0D0D"/>
                <w:sz w:val="20"/>
              </w:rPr>
            </w:pPr>
            <w:r>
              <w:rPr>
                <w:bCs w:val="false"/>
                <w:color w:val="0D0D0D"/>
                <w:sz w:val="20"/>
              </w:rPr>
              <w:t>Аварийность</w:t>
            </w:r>
          </w:p>
        </w:tc>
        <w:tc>
          <w:tcPr>
            <w:tcW w:w="242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u w:val="singl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Недоотпуск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  <w:u w:val="single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электроэнергии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(тыс. кВт. час) /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27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Экономический ущерб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(тыс. руб.)</w:t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1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4"/>
              <w:keepNext w:val="false"/>
              <w:widowControl w:val="false"/>
              <w:spacing w:lineRule="exact" w:line="400"/>
              <w:jc w:val="center"/>
              <w:rPr>
                <w:b/>
                <w:i w:val="false"/>
                <w:i w:val="false"/>
                <w:color w:val="0D0D0D"/>
                <w:sz w:val="20"/>
                <w:szCs w:val="20"/>
              </w:rPr>
            </w:pPr>
            <w:r>
              <w:rPr>
                <w:b/>
                <w:i w:val="false"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В т.ч.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по вине персонала</w:t>
            </w:r>
          </w:p>
        </w:tc>
        <w:tc>
          <w:tcPr>
            <w:tcW w:w="2427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2782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</w:t>
            </w:r>
          </w:p>
        </w:tc>
      </w:tr>
      <w:tr>
        <w:trPr>
          <w:trHeight w:val="343" w:hRule="atLeast"/>
          <w:cantSplit w:val="true"/>
        </w:trPr>
        <w:tc>
          <w:tcPr>
            <w:tcW w:w="103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АО «ЮЭСК»</w:t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b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b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8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48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36,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8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03/0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6,661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19,442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17256,023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1952,224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1876,331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bookmarkStart w:id="0" w:name="_Toc246939506"/>
      <w:r>
        <w:rPr>
          <w:rFonts w:cs="Times New Roman" w:ascii="Times New Roman" w:hAnsi="Times New Roman"/>
          <w:b/>
          <w:color w:val="0D0D0D"/>
          <w:sz w:val="28"/>
          <w:szCs w:val="28"/>
        </w:rPr>
        <w:t>Анализ аварийности на объектах АО «ЮЭСК».</w:t>
      </w:r>
    </w:p>
    <w:tbl>
      <w:tblPr>
        <w:tblW w:w="9781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597"/>
        <w:gridCol w:w="1450"/>
        <w:gridCol w:w="1448"/>
        <w:gridCol w:w="1285"/>
      </w:tblGrid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Классификационные признаки видов оборудования (код)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2019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Линии электропередачи 6 – 35 кВ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(3.3.11)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7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21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ПС и ТП 6 – 35 кВ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(3.3.13)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6</w:t>
            </w:r>
          </w:p>
        </w:tc>
      </w:tr>
      <w:tr>
        <w:trPr/>
        <w:tc>
          <w:tcPr>
            <w:tcW w:w="55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Устройства релейной защиты и автоматики (3.3.15)</w:t>
            </w:r>
          </w:p>
        </w:tc>
        <w:tc>
          <w:tcPr>
            <w:tcW w:w="1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Другие виды оборудования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(3.3.20)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Анализ аварийности на объектах АО «ЮЭСК» в разрезе организационных причин аварий.</w:t>
      </w:r>
    </w:p>
    <w:tbl>
      <w:tblPr>
        <w:tblW w:w="9752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05"/>
        <w:gridCol w:w="1348"/>
        <w:gridCol w:w="1410"/>
        <w:gridCol w:w="1388"/>
      </w:tblGrid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Классификационные признаки организационных причин аварий (код)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2019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250" w:leader="none"/>
              </w:tabs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Ошибочные или неправильные действия оперативного и (или) диспетчерского персонала  (3.4.1)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Несоблюдение сроков ТО и ремонта оборудования, устройств (3.4.7.1)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Несоблюдение объемов ТО и ремонта оборудования, устройств (3.4.7.2)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5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Несвоевременное выявление и устранение дефектов (3.4.7.3)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нарушения (3.4.7.4)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воздействия 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3.4.8.1 -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3.4.8.5)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7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Внешнее воздействие (3.4.9.1-3.4.9.3, 3.4.10)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25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Гололедно-изморозевые отложения (3.4.12.1)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Ветровые нагрузки (3.4.12.2)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11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воздействия неблагоприятных природных явлений (3.4.12.5)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spacing w:before="0" w:after="160"/>
              <w:jc w:val="left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Дефекты конструкции, изготовления, монтажа и наладки оборудования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3.4.13.1, 3.4.13.4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 выявленные причины (3.4.14)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</w:tbl>
    <w:p>
      <w:pPr>
        <w:pStyle w:val="Normal"/>
        <w:widowControl w:val="false"/>
        <w:spacing w:lineRule="exact" w:line="400" w:before="0" w:after="0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Выполнение мероприятий по актам расследования причин аварий</w:t>
      </w:r>
    </w:p>
    <w:tbl>
      <w:tblPr>
        <w:tblW w:w="10490" w:type="dxa"/>
        <w:jc w:val="left"/>
        <w:tblInd w:w="-51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noVBand="0" w:noHBand="0" w:lastColumn="0" w:firstColumn="0" w:lastRow="0" w:firstRow="0"/>
      </w:tblPr>
      <w:tblGrid>
        <w:gridCol w:w="3235"/>
        <w:gridCol w:w="1379"/>
        <w:gridCol w:w="1646"/>
        <w:gridCol w:w="1557"/>
        <w:gridCol w:w="2673"/>
      </w:tblGrid>
      <w:tr>
        <w:trPr>
          <w:trHeight w:val="846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highlight w:val="yellow"/>
              </w:rPr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Всего аварий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установленных мероприятий в акте расследования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выполненных мероприятий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невыполненных мероприятий в установленный срок</w:t>
            </w:r>
          </w:p>
        </w:tc>
      </w:tr>
      <w:tr>
        <w:trPr>
          <w:trHeight w:val="688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Всего с начала 2020 года,  из них: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</w:tr>
      <w:tr>
        <w:trPr>
          <w:trHeight w:val="660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на электросетевом оборудовании 6-35 кВ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27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33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</w:tr>
      <w:tr>
        <w:trPr>
          <w:trHeight w:val="192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на станциях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bookmarkStart w:id="1" w:name="_Toc246939506"/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  <w:bookmarkEnd w:id="1"/>
          </w:p>
        </w:tc>
      </w:tr>
    </w:tbl>
    <w:p>
      <w:pPr>
        <w:pStyle w:val="Header"/>
        <w:widowControl w:val="false"/>
        <w:tabs>
          <w:tab w:val="center" w:pos="4153" w:leader="none"/>
          <w:tab w:val="left" w:pos="6855" w:leader="none"/>
          <w:tab w:val="center" w:pos="7426" w:leader="none"/>
          <w:tab w:val="right" w:pos="8306" w:leader="none"/>
        </w:tabs>
        <w:spacing w:lineRule="exact" w:line="400"/>
        <w:ind w:left="-284" w:firstLine="127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</w:r>
    </w:p>
    <w:p>
      <w:pPr>
        <w:pStyle w:val="Header"/>
        <w:widowControl w:val="false"/>
        <w:tabs>
          <w:tab w:val="center" w:pos="4153" w:leader="none"/>
          <w:tab w:val="left" w:pos="6855" w:leader="none"/>
          <w:tab w:val="center" w:pos="7426" w:leader="none"/>
          <w:tab w:val="right" w:pos="8306" w:leader="none"/>
        </w:tabs>
        <w:spacing w:lineRule="exact" w:line="400"/>
        <w:ind w:left="-284" w:firstLine="127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Не выполненных в установленный срок мероприятий по актам расследования причин аварий за 201</w:t>
      </w:r>
      <w:r>
        <w:rPr>
          <w:color w:val="0D0D0D"/>
          <w:sz w:val="28"/>
          <w:szCs w:val="28"/>
        </w:rPr>
        <w:t>9</w:t>
      </w:r>
      <w:r>
        <w:rPr>
          <w:color w:val="0D0D0D"/>
          <w:sz w:val="28"/>
          <w:szCs w:val="28"/>
        </w:rPr>
        <w:t>–202</w:t>
      </w:r>
      <w:r>
        <w:rPr>
          <w:color w:val="0D0D0D"/>
          <w:sz w:val="28"/>
          <w:szCs w:val="28"/>
        </w:rPr>
        <w:t>1</w:t>
      </w:r>
      <w:r>
        <w:rPr>
          <w:color w:val="0D0D0D"/>
          <w:sz w:val="28"/>
          <w:szCs w:val="28"/>
        </w:rPr>
        <w:t xml:space="preserve"> год — нет.</w:t>
      </w:r>
      <w:bookmarkStart w:id="2" w:name="_GoBack"/>
      <w:bookmarkEnd w:id="2"/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Начальник СОТНиПБ</w:t>
        <w:tab/>
        <w:tab/>
        <w:tab/>
        <w:tab/>
        <w:tab/>
        <w:tab/>
        <w:tab/>
        <w:tab/>
        <w:t>В.Л. Семёнов</w:t>
      </w:r>
    </w:p>
    <w:sectPr>
      <w:type w:val="nextPage"/>
      <w:pgSz w:w="11906" w:h="16838"/>
      <w:pgMar w:left="1134" w:right="849" w:gutter="0" w:header="0" w:top="709" w:footer="0" w:bottom="42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Avenir Next Cyr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4">
    <w:name w:val="Heading 4"/>
    <w:basedOn w:val="Normal"/>
    <w:next w:val="Normal"/>
    <w:link w:val="4"/>
    <w:qFormat/>
    <w:rsid w:val="00ca0315"/>
    <w:pPr>
      <w:keepNext w:val="true"/>
      <w:spacing w:lineRule="auto" w:line="240" w:before="0" w:after="0"/>
      <w:jc w:val="right"/>
      <w:outlineLvl w:val="3"/>
    </w:pPr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paragraph" w:styleId="Heading8">
    <w:name w:val="Heading 8"/>
    <w:basedOn w:val="Normal"/>
    <w:next w:val="Normal"/>
    <w:link w:val="8"/>
    <w:qFormat/>
    <w:rsid w:val="00ca0315"/>
    <w:pPr>
      <w:keepNext w:val="true"/>
      <w:spacing w:lineRule="auto" w:line="240" w:before="0" w:after="0"/>
      <w:ind w:firstLine="709"/>
      <w:outlineLvl w:val="7"/>
    </w:pPr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1d74ae"/>
    <w:rPr>
      <w:color w:val="0563C1" w:themeColor="hyperlink"/>
      <w:u w:val="single"/>
    </w:rPr>
  </w:style>
  <w:style w:type="character" w:styleId="4" w:customStyle="1">
    <w:name w:val="Заголовок 4 Знак"/>
    <w:basedOn w:val="DefaultParagraphFont"/>
    <w:qFormat/>
    <w:rsid w:val="00ca0315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styleId="8" w:customStyle="1">
    <w:name w:val="Заголовок 8 Знак"/>
    <w:basedOn w:val="DefaultParagraphFont"/>
    <w:qFormat/>
    <w:rsid w:val="00ca0315"/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styleId="Style7" w:customStyle="1">
    <w:name w:val="Основной текст Знак"/>
    <w:basedOn w:val="DefaultParagraphFont"/>
    <w:uiPriority w:val="99"/>
    <w:semiHidden/>
    <w:qFormat/>
    <w:rsid w:val="00ca0315"/>
    <w:rPr/>
  </w:style>
  <w:style w:type="character" w:styleId="Style8" w:customStyle="1">
    <w:name w:val="Верхний колонтитул Знак"/>
    <w:basedOn w:val="DefaultParagraphFont"/>
    <w:qFormat/>
    <w:rsid w:val="00ca031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" w:customStyle="1">
    <w:name w:val="Основной текст Знак2"/>
    <w:qFormat/>
    <w:locked/>
    <w:rsid w:val="00ca0315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Style9" w:customStyle="1">
    <w:name w:val="Абзац списка Знак"/>
    <w:link w:val="ListParagraph"/>
    <w:uiPriority w:val="34"/>
    <w:qFormat/>
    <w:locked/>
    <w:rsid w:val="00ca0315"/>
    <w:rPr>
      <w:rFonts w:ascii="Calibri" w:hAnsi="Calibri" w:eastAsia="Calibri" w:cs="Times New Roman"/>
      <w:lang w:val="x-none"/>
    </w:rPr>
  </w:style>
  <w:style w:type="paragraph" w:styleId="Style10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BodyText">
    <w:name w:val="Body Text"/>
    <w:basedOn w:val="Normal"/>
    <w:link w:val="2"/>
    <w:rsid w:val="00ca0315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1">
    <w:name w:val="Указатель"/>
    <w:basedOn w:val="Normal"/>
    <w:qFormat/>
    <w:pPr>
      <w:suppressLineNumbers/>
    </w:pPr>
    <w:rPr>
      <w:rFonts w:cs="Lohit Devanagari"/>
    </w:rPr>
  </w:style>
  <w:style w:type="paragraph" w:styleId="Style12">
    <w:name w:val="Колонтитул"/>
    <w:basedOn w:val="Normal"/>
    <w:qFormat/>
    <w:pPr/>
    <w:rPr/>
  </w:style>
  <w:style w:type="paragraph" w:styleId="Header">
    <w:name w:val="Header"/>
    <w:basedOn w:val="Normal"/>
    <w:link w:val="Style8"/>
    <w:rsid w:val="00ca0315"/>
    <w:pPr>
      <w:tabs>
        <w:tab w:val="clear" w:pos="708"/>
        <w:tab w:val="center" w:pos="4153" w:leader="none"/>
        <w:tab w:val="right" w:pos="8306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link w:val="Style9"/>
    <w:uiPriority w:val="34"/>
    <w:qFormat/>
    <w:rsid w:val="00ca0315"/>
    <w:pPr>
      <w:spacing w:lineRule="auto" w:line="276" w:before="0" w:after="200"/>
      <w:ind w:left="720" w:hanging="0"/>
      <w:contextualSpacing/>
    </w:pPr>
    <w:rPr>
      <w:rFonts w:ascii="Calibri" w:hAnsi="Calibri" w:eastAsia="Calibri" w:cs="Times New Roman"/>
      <w:lang w:val="x-none"/>
    </w:rPr>
  </w:style>
  <w:style w:type="paragraph" w:styleId="Style13">
    <w:name w:val="Содержимое таблицы"/>
    <w:basedOn w:val="Normal"/>
    <w:qFormat/>
    <w:pPr>
      <w:widowControl w:val="false"/>
      <w:suppressLineNumbers/>
    </w:pPr>
    <w:rPr/>
  </w:style>
  <w:style w:type="paragraph" w:styleId="Style14">
    <w:name w:val="Заголовок таблицы"/>
    <w:basedOn w:val="Style13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2f5e1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77663-6493-4B3E-95A7-3E932D34A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Application>AlterOffice/3.3.1.3$Linux_X86_64 LibreOffice_project/90d829a0d92d6015ad4fa014ce4f460a7fe6c0ba</Application>
  <AppVersion>15.0000</AppVersion>
  <Pages>3</Pages>
  <Words>440</Words>
  <Characters>2668</Characters>
  <CharactersWithSpaces>3052</CharactersWithSpaces>
  <Paragraphs>162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2020-05-27T20:44:00Z</dcterms:created>
  <dc:creator>Design 4</dc:creator>
  <dc:description/>
  <dc:language>ru-RU</dc:language>
  <cp:lastModifiedBy>maksyukov_af</cp:lastModifiedBy>
  <dcterms:modified xsi:type="dcterms:W3CDTF">2025-03-10T14:35:19Z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