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5.odttf" ContentType="application/vnd.openxmlformats-officedocument.obfuscatedFont"/>
  <Override PartName="/word/fonts/font10.odttf" ContentType="application/vnd.openxmlformats-officedocument.obfuscatedFont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6.odttf" ContentType="application/vnd.openxmlformats-officedocument.obfuscatedFont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jc w:val="center"/>
        <w:rPr>
          <w:rFonts w:ascii="Avenir Next Cyr" w:hAnsi="Avenir Next Cyr"/>
          <w:b/>
        </w:rPr>
      </w:pPr>
      <w:r>
        <w:rPr/>
        <mc:AlternateContent>
          <mc:Choice Requires="wps">
            <w:drawing>
              <wp:inline distT="0" distB="0" distL="0" distR="0">
                <wp:extent cx="1543050" cy="54292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542960" cy="542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margin-left:0pt;margin-top:-42.8pt;width:121.45pt;height:42.7pt;mso-wrap-style:none;v-text-anchor:middle;mso-position-vertical:top" type="_x0000_t75">
                <v:imagedata r:id="rId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before="0" w:after="0"/>
        <w:rPr>
          <w:rFonts w:ascii="Avenir Next Cyr" w:hAnsi="Avenir Next Cyr"/>
          <w:b/>
        </w:rPr>
      </w:pPr>
      <w:r>
        <w:rPr>
          <w:rFonts w:ascii="Avenir Next Cyr" w:hAnsi="Avenir Next Cyr"/>
          <w:b/>
        </w:rPr>
      </w:r>
    </w:p>
    <w:p>
      <w:pPr>
        <w:pStyle w:val="Normal"/>
        <w:jc w:val="center"/>
        <w:rPr>
          <w:rFonts w:ascii="Avenir Next Cyr" w:hAnsi="Avenir Next Cyr"/>
          <w:b/>
          <w:sz w:val="18"/>
          <w:szCs w:val="18"/>
        </w:rPr>
      </w:pPr>
      <w:r>
        <w:rPr>
          <w:rFonts w:ascii="Avenir Next Cyr" w:hAnsi="Avenir Next Cyr"/>
          <w:b/>
          <w:sz w:val="18"/>
          <w:szCs w:val="18"/>
        </w:rPr>
        <w:t>Акционерное общество «Южные электрические сети Камчатки»</w:t>
      </w:r>
    </w:p>
    <w:p>
      <w:pPr>
        <w:pStyle w:val="Normal"/>
        <w:jc w:val="center"/>
        <w:rPr>
          <w:rFonts w:ascii="Avenir Next Cyr" w:hAnsi="Avenir Next Cyr"/>
          <w:b/>
          <w:sz w:val="18"/>
          <w:szCs w:val="18"/>
        </w:rPr>
      </w:pPr>
      <w:r>
        <w:rPr>
          <w:rFonts w:ascii="Avenir Next Cyr" w:hAnsi="Avenir Next Cyr"/>
          <w:b/>
          <w:sz w:val="18"/>
          <w:szCs w:val="18"/>
        </w:rPr>
        <w:t>(АО «ЮЭСК»)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ул. Тундровая, 2, Петропавловск-Камчатский, Россия,683009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Тел.(4152) 41-73-68 Факс (4152)22-43-23, E-mail: uesk-sekr@kamenergo.ru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0"/>
          <w:szCs w:val="20"/>
        </w:rPr>
      </w:pPr>
      <w:r>
        <w:rPr>
          <w:rFonts w:ascii="Avenir Next Cyr" w:hAnsi="Avenir Next Cyr"/>
          <w:b/>
          <w:sz w:val="20"/>
          <w:szCs w:val="20"/>
        </w:rPr>
        <w:t>ОКПО 71823314, ОГРН 1054100032744, ИНН/КПП 4101101796/ 410101001</w:t>
      </w:r>
    </w:p>
    <w:p>
      <w:pPr>
        <w:pStyle w:val="Normal"/>
        <w:spacing w:before="0" w:after="0"/>
        <w:jc w:val="center"/>
        <w:rPr>
          <w:rFonts w:ascii="Avenir Next Cyr" w:hAnsi="Avenir Next Cyr"/>
          <w:b/>
          <w:sz w:val="24"/>
          <w:szCs w:val="24"/>
        </w:rPr>
      </w:pPr>
      <w:r>
        <w:rPr>
          <w:rFonts w:ascii="Avenir Next Cyr" w:hAnsi="Avenir Next Cyr"/>
          <w:b/>
          <w:sz w:val="24"/>
          <w:szCs w:val="24"/>
        </w:rPr>
      </w:r>
    </w:p>
    <w:p>
      <w:pPr>
        <w:pStyle w:val="Normal"/>
        <w:spacing w:before="0" w:after="0"/>
        <w:rPr>
          <w:rFonts w:ascii="Avenir Next Cyr" w:hAnsi="Avenir Next Cyr"/>
          <w:b/>
          <w:sz w:val="16"/>
          <w:szCs w:val="16"/>
        </w:rPr>
      </w:pPr>
      <w:r>
        <w:rPr>
          <w:rFonts w:ascii="Avenir Next Cyr" w:hAnsi="Avenir Next Cyr"/>
          <w:b/>
          <w:sz w:val="20"/>
          <w:szCs w:val="20"/>
        </w:rPr>
        <w:t xml:space="preserve">                                           </w:t>
      </w:r>
      <w:r>
        <w:rPr>
          <w:rFonts w:ascii="Avenir Next Cyr" w:hAnsi="Avenir Next Cyr"/>
          <w:b/>
          <w:sz w:val="16"/>
          <w:szCs w:val="16"/>
        </w:rPr>
        <w:t>______________________________________ №_____________________________________________</w:t>
      </w:r>
    </w:p>
    <w:p>
      <w:pPr>
        <w:pStyle w:val="Normal"/>
        <w:spacing w:before="0" w:after="0"/>
        <w:rPr>
          <w:rFonts w:ascii="Avenir Next Cyr" w:hAnsi="Avenir Next Cyr"/>
          <w:b/>
          <w:sz w:val="16"/>
          <w:szCs w:val="16"/>
        </w:rPr>
      </w:pPr>
      <w:r>
        <w:rPr>
          <w:rFonts w:ascii="Avenir Next Cyr" w:hAnsi="Avenir Next Cyr"/>
          <w:b/>
          <w:sz w:val="16"/>
          <w:szCs w:val="16"/>
        </w:rPr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  <w:t xml:space="preserve">                                               </w:t>
      </w:r>
      <w:r>
        <w:rPr>
          <w:rFonts w:ascii="Avenir Next Cyr" w:hAnsi="Avenir Next Cyr"/>
          <w:b/>
          <w:bCs/>
          <w:sz w:val="16"/>
          <w:szCs w:val="16"/>
        </w:rPr>
        <w:t>на №____</w:t>
      </w:r>
      <w:r>
        <w:rPr>
          <w:rFonts w:ascii="Avenir Next Cyr" w:hAnsi="Avenir Next Cyr"/>
          <w:b/>
          <w:sz w:val="16"/>
          <w:szCs w:val="16"/>
        </w:rPr>
        <w:t>_________________________________</w:t>
      </w:r>
      <w:r>
        <w:rPr>
          <w:rFonts w:ascii="Avenir Next Cyr" w:hAnsi="Avenir Next Cyr"/>
          <w:b/>
          <w:bCs/>
          <w:sz w:val="16"/>
          <w:szCs w:val="16"/>
        </w:rPr>
        <w:t>от____</w:t>
      </w:r>
      <w:r>
        <w:rPr>
          <w:rFonts w:ascii="Avenir Next Cyr" w:hAnsi="Avenir Next Cyr"/>
          <w:b/>
          <w:sz w:val="16"/>
          <w:szCs w:val="16"/>
        </w:rPr>
        <w:t>_________</w:t>
      </w:r>
      <w:r>
        <w:rPr>
          <w:rFonts w:ascii="Avenir Next Cyr" w:hAnsi="Avenir Next Cyr"/>
          <w:b/>
          <w:bCs/>
          <w:sz w:val="16"/>
          <w:szCs w:val="16"/>
        </w:rPr>
        <w:t>_</w:t>
      </w:r>
      <w:r>
        <w:rPr>
          <w:rFonts w:ascii="Avenir Next Cyr" w:hAnsi="Avenir Next Cyr"/>
          <w:b/>
          <w:sz w:val="16"/>
          <w:szCs w:val="16"/>
        </w:rPr>
        <w:t>_____________________________</w:t>
      </w:r>
      <w:r>
        <w:rPr>
          <w:rFonts w:ascii="Avenir Next Cyr" w:hAnsi="Avenir Next Cyr"/>
          <w:b/>
          <w:bCs/>
          <w:sz w:val="16"/>
          <w:szCs w:val="16"/>
        </w:rPr>
        <w:t>__</w:t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</w:r>
    </w:p>
    <w:p>
      <w:pPr>
        <w:pStyle w:val="Normal"/>
        <w:spacing w:before="0" w:after="0"/>
        <w:rPr>
          <w:rFonts w:ascii="Avenir Next Cyr" w:hAnsi="Avenir Next Cyr"/>
          <w:b/>
          <w:bCs/>
          <w:sz w:val="16"/>
          <w:szCs w:val="16"/>
        </w:rPr>
      </w:pPr>
      <w:r>
        <w:rPr>
          <w:rFonts w:ascii="Avenir Next Cyr" w:hAnsi="Avenir Next Cyr"/>
          <w:b/>
          <w:bCs/>
          <w:sz w:val="16"/>
          <w:szCs w:val="16"/>
        </w:rPr>
      </w:r>
    </w:p>
    <w:p>
      <w:pPr>
        <w:pStyle w:val="Normal"/>
        <w:widowControl w:val="false"/>
        <w:tabs>
          <w:tab w:val="clear" w:pos="708"/>
          <w:tab w:val="left" w:pos="0" w:leader="none"/>
        </w:tabs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Д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инамика аварийности (в том числе экономического ущерба) за 202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3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 xml:space="preserve"> год в сравнении с 20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22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 xml:space="preserve"> и 20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>21</w:t>
      </w:r>
      <w:r>
        <w:rPr>
          <w:rFonts w:cs="Times New Roman" w:ascii="Times New Roman" w:hAnsi="Times New Roman"/>
          <w:b/>
          <w:bCs/>
          <w:color w:val="0D0D0D"/>
          <w:sz w:val="28"/>
          <w:szCs w:val="28"/>
        </w:rPr>
        <w:t xml:space="preserve"> гг.</w:t>
      </w:r>
    </w:p>
    <w:tbl>
      <w:tblPr>
        <w:tblW w:w="1535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firstRow="1" w:lastRow="0" w:firstColumn="1" w:lastColumn="0"/>
      </w:tblPr>
      <w:tblGrid>
        <w:gridCol w:w="4502"/>
        <w:gridCol w:w="10849"/>
      </w:tblGrid>
      <w:tr>
        <w:trPr/>
        <w:tc>
          <w:tcPr>
            <w:tcW w:w="4502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23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– </w:t>
            </w:r>
            <w:r>
              <w:rPr>
                <w:rFonts w:cs="Times New Roman" w:ascii="Times New Roman" w:hAnsi="Times New Roman"/>
                <w:b/>
                <w:bCs/>
                <w:color w:val="0D0D0D"/>
                <w:sz w:val="28"/>
                <w:szCs w:val="28"/>
                <w:lang w:eastAsia="x-none"/>
              </w:rPr>
              <w:t>18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й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– </w:t>
            </w:r>
            <w:r>
              <w:rPr>
                <w:rFonts w:cs="Times New Roman" w:ascii="Times New Roman" w:hAnsi="Times New Roman"/>
                <w:b/>
                <w:bCs/>
                <w:color w:val="0D0D0D"/>
                <w:sz w:val="28"/>
                <w:szCs w:val="28"/>
                <w:lang w:eastAsia="x-none"/>
              </w:rPr>
              <w:t>26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й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Январь-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декабрь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202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1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– </w:t>
            </w:r>
            <w:r>
              <w:rPr>
                <w:rFonts w:cs="Times New Roman" w:ascii="Times New Roman" w:hAnsi="Times New Roman"/>
                <w:b/>
                <w:bCs/>
                <w:color w:val="0D0D0D"/>
                <w:sz w:val="28"/>
                <w:szCs w:val="28"/>
                <w:lang w:eastAsia="x-none"/>
              </w:rPr>
              <w:t>27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 xml:space="preserve">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авари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и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10849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</w:tr>
    </w:tbl>
    <w:p>
      <w:pPr>
        <w:pStyle w:val="Normal"/>
        <w:widowControl w:val="false"/>
        <w:spacing w:lineRule="exact" w:line="400" w:before="0" w:after="0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  <w:r>
        <w:rPr/>
      </w:r>
    </w:p>
    <w:p>
      <w:pPr>
        <w:pStyle w:val="Normal"/>
        <w:widowControl w:val="false"/>
        <w:spacing w:lineRule="exact" w:line="400" w:before="0" w:after="0"/>
        <w:ind w:firstLine="708"/>
        <w:jc w:val="both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В 202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3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год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у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– произошло </w:t>
      </w:r>
      <w:r>
        <w:rPr>
          <w:rFonts w:cs="Times New Roman" w:ascii="Times New Roman" w:hAnsi="Times New Roman"/>
          <w:b/>
          <w:color w:val="0D0D0D"/>
          <w:sz w:val="28"/>
          <w:szCs w:val="28"/>
          <w:lang w:eastAsia="x-none"/>
        </w:rPr>
        <w:t>18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авари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й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, в сравнении с аналогичным периодом 20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22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года аварийность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снизилась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на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30,76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% или на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8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случа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ев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, а в сравнении с 20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21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годом аварийность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снизилась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на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33,33%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ил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и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на 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9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 xml:space="preserve"> случа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ев</w:t>
      </w: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  <w:t>.</w:t>
      </w:r>
    </w:p>
    <w:p>
      <w:pPr>
        <w:pStyle w:val="Normal"/>
        <w:widowControl w:val="false"/>
        <w:spacing w:lineRule="exact" w:line="400" w:before="0" w:after="0"/>
        <w:jc w:val="right"/>
        <w:rPr>
          <w:rFonts w:ascii="Times New Roman" w:hAnsi="Times New Roman" w:cs="Times New Roman"/>
          <w:color w:val="0D0D0D"/>
          <w:sz w:val="28"/>
          <w:szCs w:val="28"/>
          <w:lang w:eastAsia="x-none"/>
        </w:rPr>
      </w:pPr>
      <w:r>
        <w:rPr>
          <w:rFonts w:cs="Times New Roman" w:ascii="Times New Roman" w:hAnsi="Times New Roman"/>
          <w:color w:val="0D0D0D"/>
          <w:sz w:val="28"/>
          <w:szCs w:val="28"/>
          <w:lang w:eastAsia="x-none"/>
        </w:rPr>
      </w:r>
    </w:p>
    <w:tbl>
      <w:tblPr>
        <w:tblW w:w="10314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945"/>
        <w:gridCol w:w="1282"/>
        <w:gridCol w:w="2834"/>
        <w:gridCol w:w="4252"/>
      </w:tblGrid>
      <w:tr>
        <w:trPr>
          <w:trHeight w:val="1077" w:hRule="atLeast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ВСЕГО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В том числе - 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по вине персонала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АО «ЮЭСК»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В том числе - аварии, расследование которых осуществляет 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  <w:lang w:eastAsia="x-none"/>
              </w:rPr>
              <w:t>Ростехнадзор</w:t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(по п.4. Правил расследования причин аварий в эл/энергетике)</w:t>
            </w:r>
          </w:p>
        </w:tc>
      </w:tr>
      <w:tr>
        <w:trPr>
          <w:trHeight w:val="741" w:hRule="atLeast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3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18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  <w:tr>
        <w:trPr/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26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  <w:tr>
        <w:trPr/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20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21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 xml:space="preserve"> год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27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по вине персонала нет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eastAsia="x-none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eastAsia="x-none"/>
              </w:rPr>
              <w:t>нет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Распределение аварий по подразделениям АО «ЮЭСК»:</w:t>
      </w:r>
    </w:p>
    <w:tbl>
      <w:tblPr>
        <w:tblW w:w="10323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VBand="0" w:noHBand="0" w:lastColumn="0" w:firstColumn="0" w:lastRow="0" w:firstRow="0"/>
      </w:tblPr>
      <w:tblGrid>
        <w:gridCol w:w="1364"/>
        <w:gridCol w:w="613"/>
        <w:gridCol w:w="641"/>
        <w:gridCol w:w="627"/>
        <w:gridCol w:w="614"/>
        <w:gridCol w:w="614"/>
        <w:gridCol w:w="641"/>
        <w:gridCol w:w="791"/>
        <w:gridCol w:w="900"/>
        <w:gridCol w:w="845"/>
        <w:gridCol w:w="914"/>
        <w:gridCol w:w="859"/>
        <w:gridCol w:w="900"/>
      </w:tblGrid>
      <w:tr>
        <w:trPr>
          <w:trHeight w:val="220" w:hRule="atLeast"/>
          <w:cantSplit w:val="true"/>
        </w:trPr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4"/>
              <w:keepNext w:val="false"/>
              <w:widowControl w:val="false"/>
              <w:tabs>
                <w:tab w:val="clear" w:pos="708"/>
                <w:tab w:val="left" w:pos="1091" w:leader="none"/>
                <w:tab w:val="left" w:pos="1473" w:leader="none"/>
              </w:tabs>
              <w:spacing w:lineRule="exact" w:line="400"/>
              <w:ind w:right="-163" w:hanging="0"/>
              <w:jc w:val="center"/>
              <w:rPr>
                <w:rFonts w:eastAsia="Arial Unicode MS"/>
                <w:b/>
                <w:bCs/>
                <w:i w:val="false"/>
                <w:i w:val="false"/>
                <w:color w:val="0D0D0D"/>
                <w:sz w:val="20"/>
                <w:szCs w:val="20"/>
              </w:rPr>
            </w:pPr>
            <w:r>
              <w:rPr>
                <w:b/>
                <w:i w:val="false"/>
                <w:color w:val="0D0D0D"/>
                <w:sz w:val="20"/>
                <w:szCs w:val="20"/>
              </w:rPr>
              <w:t>Энерго-предприятия</w:t>
            </w:r>
          </w:p>
        </w:tc>
        <w:tc>
          <w:tcPr>
            <w:tcW w:w="37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8"/>
              <w:keepNext w:val="false"/>
              <w:widowControl w:val="false"/>
              <w:spacing w:lineRule="exact" w:line="400"/>
              <w:ind w:hanging="0"/>
              <w:jc w:val="center"/>
              <w:rPr>
                <w:bCs w:val="false"/>
                <w:color w:val="0D0D0D"/>
                <w:sz w:val="20"/>
              </w:rPr>
            </w:pPr>
            <w:r>
              <w:rPr>
                <w:bCs w:val="false"/>
                <w:color w:val="0D0D0D"/>
                <w:sz w:val="20"/>
              </w:rPr>
              <w:t>Аварийность</w:t>
            </w:r>
          </w:p>
        </w:tc>
        <w:tc>
          <w:tcPr>
            <w:tcW w:w="253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u w:val="single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Недоотпуск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  <w:u w:val="single"/>
              </w:rPr>
              <w:t xml:space="preserve"> 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электроэнергии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(тыс. кВт. час) /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267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Экономический ущерб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(тыс. руб.)</w:t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1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Heading4"/>
              <w:keepNext w:val="false"/>
              <w:widowControl w:val="false"/>
              <w:spacing w:lineRule="exact" w:line="400"/>
              <w:jc w:val="center"/>
              <w:rPr>
                <w:b/>
                <w:i w:val="false"/>
                <w:i w:val="false"/>
                <w:color w:val="0D0D0D"/>
                <w:sz w:val="20"/>
                <w:szCs w:val="20"/>
              </w:rPr>
            </w:pPr>
            <w:r>
              <w:rPr>
                <w:b/>
                <w:i w:val="false"/>
                <w:color w:val="0D0D0D"/>
                <w:sz w:val="20"/>
                <w:szCs w:val="20"/>
              </w:rPr>
              <w:t>Всего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В т.ч.</w:t>
            </w:r>
          </w:p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по вине персонала</w:t>
            </w:r>
          </w:p>
        </w:tc>
        <w:tc>
          <w:tcPr>
            <w:tcW w:w="2536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2673" w:type="dxa"/>
            <w:gridSpan w:val="3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color w:val="0D0D0D"/>
                <w:sz w:val="20"/>
                <w:szCs w:val="20"/>
              </w:rPr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color w:val="0D0D0D"/>
                <w:sz w:val="20"/>
                <w:szCs w:val="20"/>
              </w:rPr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21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3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3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21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5F1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66" w:firstLine="41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3</w:t>
            </w:r>
          </w:p>
        </w:tc>
      </w:tr>
      <w:tr>
        <w:trPr>
          <w:trHeight w:val="343" w:hRule="atLeast"/>
          <w:cantSplit w:val="true"/>
        </w:trPr>
        <w:tc>
          <w:tcPr>
            <w:tcW w:w="1032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АО «ЮЭСК»</w:t>
            </w:r>
          </w:p>
        </w:tc>
      </w:tr>
      <w:tr>
        <w:trPr>
          <w:trHeight w:val="220" w:hRule="atLeast"/>
          <w:cantSplit w:val="true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eastAsia="Arial Unicode MS" w:cs="Times New Roman"/>
                <w:b/>
                <w:color w:val="0D0D0D"/>
                <w:sz w:val="20"/>
                <w:szCs w:val="20"/>
              </w:rPr>
            </w:pPr>
            <w:r>
              <w:rPr>
                <w:rFonts w:eastAsia="Arial Unicode MS" w:cs="Times New Roman" w:ascii="Times New Roman" w:hAnsi="Times New Roman"/>
                <w:b/>
                <w:color w:val="0D0D0D"/>
                <w:sz w:val="20"/>
                <w:szCs w:val="20"/>
              </w:rPr>
              <w:t>ВСЕГО</w:t>
            </w:r>
          </w:p>
        </w:tc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27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26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18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19,442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/0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29,825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/0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15,782</w:t>
            </w: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/0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1876,331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1119,133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D4B4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ind w:left="-78" w:right="-95" w:hanging="0"/>
              <w:jc w:val="center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0"/>
                <w:szCs w:val="20"/>
              </w:rPr>
              <w:t>711,000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bookmarkStart w:id="0" w:name="_Toc246939506"/>
      <w:r>
        <w:rPr>
          <w:rFonts w:cs="Times New Roman" w:ascii="Times New Roman" w:hAnsi="Times New Roman"/>
          <w:b/>
          <w:color w:val="0D0D0D"/>
          <w:sz w:val="28"/>
          <w:szCs w:val="28"/>
        </w:rPr>
        <w:t>Анализ аварийности на объектах АО «ЮЭСК».</w:t>
      </w:r>
    </w:p>
    <w:tbl>
      <w:tblPr>
        <w:tblW w:w="9781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597"/>
        <w:gridCol w:w="1450"/>
        <w:gridCol w:w="1448"/>
        <w:gridCol w:w="1285"/>
      </w:tblGrid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Классификационные признаки видов оборудования (код)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Линии электропередачи 6 – 35 кВ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(3.3.11)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21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18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13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ПС и ТП 6 – 35 кВ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(3.3.13)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6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6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</w:tr>
      <w:tr>
        <w:trPr/>
        <w:tc>
          <w:tcPr>
            <w:tcW w:w="55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Устройства релейной защиты и автоматики (3.3.15)</w:t>
            </w:r>
          </w:p>
        </w:tc>
        <w:tc>
          <w:tcPr>
            <w:tcW w:w="14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lang w:val="en-US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Другие виды оборудования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  <w:lang w:val="en-US"/>
              </w:rPr>
              <w:t xml:space="preserve"> (3.3.20)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</w:tbl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Анализ аварийности на объектах АО «ЮЭСК» в разрезе организационных причин аварий.</w:t>
      </w:r>
    </w:p>
    <w:tbl>
      <w:tblPr>
        <w:tblW w:w="9752" w:type="dxa"/>
        <w:jc w:val="left"/>
        <w:tblInd w:w="-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605"/>
        <w:gridCol w:w="1348"/>
        <w:gridCol w:w="1410"/>
        <w:gridCol w:w="1388"/>
      </w:tblGrid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Классификационные признаки организационных причин аварий (код)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1250" w:leader="none"/>
              </w:tabs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Ошибочные или неправильные действия оперативного и (или) диспетчерского персонала  (3.4.1)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bidi w:val="0"/>
              <w:spacing w:before="0" w:after="160"/>
              <w:jc w:val="left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Ошиб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очные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 или неправильные действия привлеч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енного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 персонала, выполняющего работы по расчистке от ДКР, вырубке угрожающих деревье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в (3.4.3)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</w:tr>
      <w:tr>
        <w:trPr/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Несоблюдение сроков ТО и ремонта оборудования, устройств (3.4.7.1)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/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Несоблюдение объемов ТО и ремонта оборудования, устройств (3.4.7.2)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Несвоевременное выявление и устранение дефектов (3.4.7.3)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Прочие нарушения (3.4.7.4)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/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Прочие воздействия (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3.4.8.1 -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3.4.8.5)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7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4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Внешнее воздействие (3.4.9.1-3.4.9.3, 3.4.10)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4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bidi w:val="0"/>
              <w:spacing w:before="0" w:after="160"/>
              <w:jc w:val="left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Воздействие стихийных явлений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3.4.11, 3.4.12.1 - 3.4.12.5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11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4</w:t>
            </w:r>
          </w:p>
        </w:tc>
      </w:tr>
      <w:tr>
        <w:trPr/>
        <w:tc>
          <w:tcPr>
            <w:tcW w:w="5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bidi w:val="0"/>
              <w:spacing w:before="0" w:after="160"/>
              <w:jc w:val="left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 xml:space="preserve">Дефекты конструкции, изготовления, монтажа и наладки оборудования 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(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3.4.13.1 - 3.4.13.4</w:t>
            </w: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)</w:t>
            </w:r>
          </w:p>
        </w:tc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-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8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3</w:t>
            </w:r>
          </w:p>
        </w:tc>
      </w:tr>
      <w:tr>
        <w:trPr/>
        <w:tc>
          <w:tcPr>
            <w:tcW w:w="56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Не выявленные причины (3.4.14)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center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1</w:t>
            </w:r>
          </w:p>
        </w:tc>
      </w:tr>
    </w:tbl>
    <w:p>
      <w:pPr>
        <w:pStyle w:val="Normal"/>
        <w:widowControl w:val="false"/>
        <w:spacing w:lineRule="exact" w:line="400" w:before="0" w:after="0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ind w:left="-142" w:firstLine="851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</w:r>
    </w:p>
    <w:p>
      <w:pPr>
        <w:pStyle w:val="Normal"/>
        <w:widowControl w:val="false"/>
        <w:spacing w:lineRule="exact" w:line="400" w:before="0" w:after="0"/>
        <w:jc w:val="both"/>
        <w:rPr>
          <w:rFonts w:ascii="Times New Roman" w:hAnsi="Times New Roman" w:cs="Times New Roman"/>
          <w:b/>
          <w:color w:val="0D0D0D"/>
          <w:sz w:val="28"/>
          <w:szCs w:val="28"/>
        </w:rPr>
      </w:pPr>
      <w:r>
        <w:rPr>
          <w:rFonts w:cs="Times New Roman" w:ascii="Times New Roman" w:hAnsi="Times New Roman"/>
          <w:b/>
          <w:color w:val="0D0D0D"/>
          <w:sz w:val="28"/>
          <w:szCs w:val="28"/>
        </w:rPr>
        <w:t>Выполнение мероприятий по актам расследования причин аварий</w:t>
      </w:r>
    </w:p>
    <w:tbl>
      <w:tblPr>
        <w:tblW w:w="10490" w:type="dxa"/>
        <w:jc w:val="left"/>
        <w:tblInd w:w="-51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noVBand="0" w:noHBand="0" w:lastColumn="0" w:firstColumn="0" w:lastRow="0" w:firstRow="0"/>
      </w:tblPr>
      <w:tblGrid>
        <w:gridCol w:w="3235"/>
        <w:gridCol w:w="1379"/>
        <w:gridCol w:w="1646"/>
        <w:gridCol w:w="1557"/>
        <w:gridCol w:w="2673"/>
      </w:tblGrid>
      <w:tr>
        <w:trPr>
          <w:trHeight w:val="846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  <w:highlight w:val="yellow"/>
              </w:rPr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Всего аварий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установленных мероприятий в акте расследования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выполненных мероприятий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Количество невыполненных мероприятий в установленный срок</w:t>
            </w:r>
          </w:p>
        </w:tc>
      </w:tr>
      <w:tr>
        <w:trPr>
          <w:trHeight w:val="688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Всего с начала 202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2</w:t>
            </w: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 xml:space="preserve"> года,  из них: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b/>
                <w:color w:val="0D0D0D"/>
                <w:sz w:val="28"/>
                <w:szCs w:val="28"/>
              </w:rPr>
              <w:t>0</w:t>
            </w:r>
          </w:p>
        </w:tc>
      </w:tr>
      <w:tr>
        <w:trPr>
          <w:trHeight w:val="660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на электросетевом оборудовании 6-35 кВ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18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35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29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1</w:t>
            </w:r>
          </w:p>
        </w:tc>
      </w:tr>
      <w:tr>
        <w:trPr>
          <w:trHeight w:val="192" w:hRule="atLeas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  <w:highlight w:val="yellow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на станциях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2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4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4</w:t>
            </w: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DBDB" w:val="clear"/>
            <w:vAlign w:val="center"/>
          </w:tcPr>
          <w:p>
            <w:pPr>
              <w:pStyle w:val="Normal"/>
              <w:widowControl w:val="false"/>
              <w:spacing w:lineRule="exact" w:line="400" w:before="0" w:after="0"/>
              <w:jc w:val="both"/>
              <w:rPr>
                <w:rFonts w:ascii="Times New Roman" w:hAnsi="Times New Roman" w:cs="Times New Roman"/>
                <w:color w:val="0D0D0D"/>
                <w:sz w:val="28"/>
                <w:szCs w:val="28"/>
              </w:rPr>
            </w:pPr>
            <w:bookmarkStart w:id="1" w:name="_Toc246939506"/>
            <w:r>
              <w:rPr>
                <w:rFonts w:cs="Times New Roman" w:ascii="Times New Roman" w:hAnsi="Times New Roman"/>
                <w:color w:val="0D0D0D"/>
                <w:sz w:val="28"/>
                <w:szCs w:val="28"/>
              </w:rPr>
              <w:t>0</w:t>
            </w:r>
            <w:bookmarkEnd w:id="1"/>
          </w:p>
        </w:tc>
      </w:tr>
    </w:tbl>
    <w:p>
      <w:pPr>
        <w:pStyle w:val="Header"/>
        <w:widowControl w:val="false"/>
        <w:tabs>
          <w:tab w:val="center" w:pos="4153" w:leader="none"/>
          <w:tab w:val="left" w:pos="6855" w:leader="none"/>
          <w:tab w:val="center" w:pos="7426" w:leader="none"/>
          <w:tab w:val="right" w:pos="8306" w:leader="none"/>
        </w:tabs>
        <w:spacing w:lineRule="exact" w:line="400"/>
        <w:ind w:left="-284" w:firstLine="127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</w:r>
    </w:p>
    <w:p>
      <w:pPr>
        <w:pStyle w:val="Header"/>
        <w:widowControl w:val="false"/>
        <w:tabs>
          <w:tab w:val="center" w:pos="4153" w:leader="none"/>
          <w:tab w:val="left" w:pos="6855" w:leader="none"/>
          <w:tab w:val="center" w:pos="7426" w:leader="none"/>
          <w:tab w:val="right" w:pos="8306" w:leader="none"/>
        </w:tabs>
        <w:spacing w:lineRule="exact" w:line="400"/>
        <w:ind w:left="-284" w:firstLine="127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В</w:t>
      </w:r>
      <w:r>
        <w:rPr>
          <w:color w:val="0D0D0D"/>
          <w:sz w:val="28"/>
          <w:szCs w:val="28"/>
        </w:rPr>
        <w:t xml:space="preserve"> установленный срок по актам расследования причин аварий за </w:t>
      </w:r>
      <w:r>
        <w:rPr>
          <w:color w:val="0D0D0D"/>
          <w:sz w:val="28"/>
          <w:szCs w:val="28"/>
        </w:rPr>
        <w:t>2</w:t>
      </w:r>
      <w:r>
        <w:rPr>
          <w:color w:val="0D0D0D"/>
          <w:sz w:val="28"/>
          <w:szCs w:val="28"/>
        </w:rPr>
        <w:t>02</w:t>
      </w:r>
      <w:r>
        <w:rPr>
          <w:color w:val="0D0D0D"/>
          <w:sz w:val="28"/>
          <w:szCs w:val="28"/>
        </w:rPr>
        <w:t>3</w:t>
      </w:r>
      <w:r>
        <w:rPr>
          <w:color w:val="0D0D0D"/>
          <w:sz w:val="28"/>
          <w:szCs w:val="28"/>
        </w:rPr>
        <w:t xml:space="preserve"> год </w:t>
      </w:r>
      <w:r>
        <w:rPr>
          <w:color w:val="0D0D0D"/>
          <w:sz w:val="28"/>
          <w:szCs w:val="28"/>
        </w:rPr>
        <w:t xml:space="preserve">не выполнено 1 </w:t>
      </w:r>
      <w:r>
        <w:rPr>
          <w:color w:val="0D0D0D"/>
          <w:sz w:val="28"/>
          <w:szCs w:val="28"/>
        </w:rPr>
        <w:t>мероприяти</w:t>
      </w:r>
      <w:r>
        <w:rPr>
          <w:color w:val="0D0D0D"/>
          <w:sz w:val="28"/>
          <w:szCs w:val="28"/>
        </w:rPr>
        <w:t>е в связи с отсутствием подрядных организаций готовых принять участие в конкурсных процедурах.</w:t>
      </w:r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</w:r>
    </w:p>
    <w:p>
      <w:pPr>
        <w:pStyle w:val="BodyText"/>
        <w:spacing w:lineRule="exact" w:line="400"/>
        <w:jc w:val="lef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Начальник СНПБиОТ</w:t>
        <w:tab/>
        <w:tab/>
        <w:tab/>
        <w:tab/>
        <w:tab/>
        <w:tab/>
        <w:tab/>
        <w:tab/>
        <w:t>В.Л. Семёнов</w:t>
      </w:r>
    </w:p>
    <w:sectPr>
      <w:type w:val="nextPage"/>
      <w:pgSz w:w="11906" w:h="16838"/>
      <w:pgMar w:left="1134" w:right="849" w:gutter="0" w:header="0" w:top="709" w:footer="0" w:bottom="42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  <w:embedBold r:id="rId6" w:fontKey="{06014A78-CABC-4EF0-12AC-5CD89AEFDE06}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Avenir Next Cyr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embedTrueType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4">
    <w:name w:val="Heading 4"/>
    <w:basedOn w:val="Normal"/>
    <w:next w:val="Normal"/>
    <w:link w:val="4"/>
    <w:qFormat/>
    <w:rsid w:val="00ca0315"/>
    <w:pPr>
      <w:keepNext w:val="true"/>
      <w:spacing w:lineRule="auto" w:line="240" w:before="0" w:after="0"/>
      <w:jc w:val="right"/>
      <w:outlineLvl w:val="3"/>
    </w:pPr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paragraph" w:styleId="Heading8">
    <w:name w:val="Heading 8"/>
    <w:basedOn w:val="Normal"/>
    <w:next w:val="Normal"/>
    <w:link w:val="8"/>
    <w:qFormat/>
    <w:rsid w:val="00ca0315"/>
    <w:pPr>
      <w:keepNext w:val="true"/>
      <w:spacing w:lineRule="auto" w:line="240" w:before="0" w:after="0"/>
      <w:ind w:firstLine="709"/>
      <w:outlineLvl w:val="7"/>
    </w:pPr>
    <w:rPr>
      <w:rFonts w:ascii="Times New Roman" w:hAnsi="Times New Roman" w:eastAsia="Times New Roman" w:cs="Times New Roman"/>
      <w:b/>
      <w:bCs/>
      <w:sz w:val="24"/>
      <w:szCs w:val="20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">
    <w:name w:val="Hyperlink"/>
    <w:basedOn w:val="DefaultParagraphFont"/>
    <w:uiPriority w:val="99"/>
    <w:unhideWhenUsed/>
    <w:rsid w:val="001d74ae"/>
    <w:rPr>
      <w:color w:val="0563C1" w:themeColor="hyperlink"/>
      <w:u w:val="single"/>
    </w:rPr>
  </w:style>
  <w:style w:type="character" w:styleId="4" w:customStyle="1">
    <w:name w:val="Заголовок 4 Знак"/>
    <w:basedOn w:val="DefaultParagraphFont"/>
    <w:qFormat/>
    <w:rsid w:val="00ca0315"/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character" w:styleId="8" w:customStyle="1">
    <w:name w:val="Заголовок 8 Знак"/>
    <w:basedOn w:val="DefaultParagraphFont"/>
    <w:qFormat/>
    <w:rsid w:val="00ca0315"/>
    <w:rPr>
      <w:rFonts w:ascii="Times New Roman" w:hAnsi="Times New Roman" w:eastAsia="Times New Roman" w:cs="Times New Roman"/>
      <w:b/>
      <w:bCs/>
      <w:sz w:val="24"/>
      <w:szCs w:val="20"/>
      <w:lang w:eastAsia="ru-RU"/>
    </w:rPr>
  </w:style>
  <w:style w:type="character" w:styleId="Style7" w:customStyle="1">
    <w:name w:val="Основной текст Знак"/>
    <w:basedOn w:val="DefaultParagraphFont"/>
    <w:uiPriority w:val="99"/>
    <w:semiHidden/>
    <w:qFormat/>
    <w:rsid w:val="00ca0315"/>
    <w:rPr/>
  </w:style>
  <w:style w:type="character" w:styleId="Style8" w:customStyle="1">
    <w:name w:val="Верхний колонтитул Знак"/>
    <w:basedOn w:val="DefaultParagraphFont"/>
    <w:qFormat/>
    <w:rsid w:val="00ca0315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2" w:customStyle="1">
    <w:name w:val="Основной текст Знак2"/>
    <w:qFormat/>
    <w:locked/>
    <w:rsid w:val="00ca0315"/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character" w:styleId="Style9" w:customStyle="1">
    <w:name w:val="Абзац списка Знак"/>
    <w:link w:val="ListParagraph"/>
    <w:uiPriority w:val="34"/>
    <w:qFormat/>
    <w:locked/>
    <w:rsid w:val="00ca0315"/>
    <w:rPr>
      <w:rFonts w:ascii="Calibri" w:hAnsi="Calibri" w:eastAsia="Calibri" w:cs="Times New Roman"/>
      <w:lang w:val="x-none"/>
    </w:rPr>
  </w:style>
  <w:style w:type="paragraph" w:styleId="Style10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BodyText">
    <w:name w:val="Body Text"/>
    <w:basedOn w:val="Normal"/>
    <w:link w:val="2"/>
    <w:rsid w:val="00ca0315"/>
    <w:pPr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4"/>
      <w:lang w:val="x-none" w:eastAsia="x-none"/>
    </w:rPr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1">
    <w:name w:val="Указатель"/>
    <w:basedOn w:val="Normal"/>
    <w:qFormat/>
    <w:pPr>
      <w:suppressLineNumbers/>
    </w:pPr>
    <w:rPr>
      <w:rFonts w:cs="Lohit Devanagari"/>
    </w:rPr>
  </w:style>
  <w:style w:type="paragraph" w:styleId="Style12">
    <w:name w:val="Колонтитул"/>
    <w:basedOn w:val="Normal"/>
    <w:qFormat/>
    <w:pPr/>
    <w:rPr/>
  </w:style>
  <w:style w:type="paragraph" w:styleId="Header">
    <w:name w:val="Header"/>
    <w:basedOn w:val="Normal"/>
    <w:link w:val="Style8"/>
    <w:rsid w:val="00ca0315"/>
    <w:pPr>
      <w:tabs>
        <w:tab w:val="clear" w:pos="708"/>
        <w:tab w:val="center" w:pos="4153" w:leader="none"/>
        <w:tab w:val="right" w:pos="8306" w:leader="none"/>
      </w:tabs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link w:val="Style9"/>
    <w:uiPriority w:val="34"/>
    <w:qFormat/>
    <w:rsid w:val="00ca0315"/>
    <w:pPr>
      <w:spacing w:lineRule="auto" w:line="276" w:before="0" w:after="200"/>
      <w:ind w:left="720" w:hanging="0"/>
      <w:contextualSpacing/>
    </w:pPr>
    <w:rPr>
      <w:rFonts w:ascii="Calibri" w:hAnsi="Calibri" w:eastAsia="Calibri" w:cs="Times New Roman"/>
      <w:lang w:val="x-none"/>
    </w:rPr>
  </w:style>
  <w:style w:type="paragraph" w:styleId="Style13">
    <w:name w:val="Содержимое таблицы"/>
    <w:basedOn w:val="Normal"/>
    <w:qFormat/>
    <w:pPr>
      <w:widowControl w:val="false"/>
      <w:suppressLineNumbers/>
    </w:pPr>
    <w:rPr/>
  </w:style>
  <w:style w:type="paragraph" w:styleId="Style14">
    <w:name w:val="Заголовок таблицы"/>
    <w:basedOn w:val="Style13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2f5e1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77663-6493-4B3E-95A7-3E932D34A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Application>AlterOffice/3.3.1.3$Linux_X86_64 LibreOffice_project/90d829a0d92d6015ad4fa014ce4f460a7fe6c0ba</Application>
  <AppVersion>15.0000</AppVersion>
  <Pages>3</Pages>
  <Words>457</Words>
  <Characters>2780</Characters>
  <CharactersWithSpaces>3188</CharactersWithSpaces>
  <Paragraphs>155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2020-05-27T20:44:00Z</dcterms:created>
  <dc:creator>Design 4</dc:creator>
  <dc:description/>
  <dc:language>ru-RU</dc:language>
  <cp:lastModifiedBy>maksyukov_af</cp:lastModifiedBy>
  <dcterms:modified xsi:type="dcterms:W3CDTF">2025-03-10T16:03:46Z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