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rFonts w:ascii="Avenir Next Cyr" w:hAnsi="Avenir Next Cyr"/>
          <w:b/>
        </w:rPr>
      </w:pPr>
      <w:r>
        <w:rPr/>
        <mc:AlternateContent>
          <mc:Choice Requires="wps">
            <w:drawing>
              <wp:inline distT="0" distB="0" distL="0" distR="0">
                <wp:extent cx="1543050" cy="54292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542960" cy="54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42.8pt;width:121.45pt;height:42.7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before="0" w:after="0"/>
        <w:rPr>
          <w:rFonts w:ascii="Avenir Next Cyr" w:hAnsi="Avenir Next Cyr"/>
          <w:b/>
        </w:rPr>
      </w:pPr>
      <w:r>
        <w:rPr>
          <w:rFonts w:ascii="Avenir Next Cyr" w:hAnsi="Avenir Next Cyr"/>
          <w:b/>
        </w:rPr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Акционерное общество «Южные электрические сети Камчатки»</w:t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(АО «ЮЭСК»)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ул. Тундровая, 2, Петропавловск-Камчатский, Россия,683009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Тел.(4152) 41-73-68 Факс (4152)22-43-23, E-mail: uesk-sekr@kamenergo.ru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ОКПО 71823314, ОГРН 1054100032744, ИНН/КПП 4101101796/ 410101001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4"/>
          <w:szCs w:val="24"/>
        </w:rPr>
      </w:pPr>
      <w:r>
        <w:rPr>
          <w:rFonts w:ascii="Avenir Next Cyr" w:hAnsi="Avenir Next Cyr"/>
          <w:b/>
          <w:sz w:val="24"/>
          <w:szCs w:val="24"/>
        </w:rPr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20"/>
          <w:szCs w:val="20"/>
        </w:rPr>
        <w:t xml:space="preserve">                                           </w:t>
      </w:r>
      <w:r>
        <w:rPr>
          <w:rFonts w:ascii="Avenir Next Cyr" w:hAnsi="Avenir Next Cyr"/>
          <w:b/>
          <w:sz w:val="16"/>
          <w:szCs w:val="16"/>
        </w:rPr>
        <w:t>______________________________________ №_____________________________________________</w:t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  <w:t xml:space="preserve">                                               </w:t>
      </w:r>
      <w:r>
        <w:rPr>
          <w:rFonts w:ascii="Avenir Next Cyr" w:hAnsi="Avenir Next Cyr"/>
          <w:b/>
          <w:bCs/>
          <w:sz w:val="16"/>
          <w:szCs w:val="16"/>
        </w:rPr>
        <w:t>на №____</w:t>
      </w:r>
      <w:r>
        <w:rPr>
          <w:rFonts w:ascii="Avenir Next Cyr" w:hAnsi="Avenir Next Cyr"/>
          <w:b/>
          <w:sz w:val="16"/>
          <w:szCs w:val="16"/>
        </w:rPr>
        <w:t>_________________________________</w:t>
      </w:r>
      <w:r>
        <w:rPr>
          <w:rFonts w:ascii="Avenir Next Cyr" w:hAnsi="Avenir Next Cyr"/>
          <w:b/>
          <w:bCs/>
          <w:sz w:val="16"/>
          <w:szCs w:val="16"/>
        </w:rPr>
        <w:t>от____</w:t>
      </w:r>
      <w:r>
        <w:rPr>
          <w:rFonts w:ascii="Avenir Next Cyr" w:hAnsi="Avenir Next Cyr"/>
          <w:b/>
          <w:sz w:val="16"/>
          <w:szCs w:val="16"/>
        </w:rPr>
        <w:t>_________</w:t>
      </w:r>
      <w:r>
        <w:rPr>
          <w:rFonts w:ascii="Avenir Next Cyr" w:hAnsi="Avenir Next Cyr"/>
          <w:b/>
          <w:bCs/>
          <w:sz w:val="16"/>
          <w:szCs w:val="16"/>
        </w:rPr>
        <w:t>_</w:t>
      </w:r>
      <w:r>
        <w:rPr>
          <w:rFonts w:ascii="Avenir Next Cyr" w:hAnsi="Avenir Next Cyr"/>
          <w:b/>
          <w:sz w:val="16"/>
          <w:szCs w:val="16"/>
        </w:rPr>
        <w:t>_____________________________</w:t>
      </w:r>
      <w:r>
        <w:rPr>
          <w:rFonts w:ascii="Avenir Next Cyr" w:hAnsi="Avenir Next Cyr"/>
          <w:b/>
          <w:bCs/>
          <w:sz w:val="16"/>
          <w:szCs w:val="16"/>
        </w:rPr>
        <w:t>__</w:t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widowControl w:val="false"/>
        <w:tabs>
          <w:tab w:val="clear" w:pos="708"/>
          <w:tab w:val="left" w:pos="0" w:leader="none"/>
        </w:tabs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Д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инамика аварийности (в том числе экономического ущерба) за 202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4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год в сравнении с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23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и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22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гг.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4502"/>
        <w:gridCol w:w="10849"/>
      </w:tblGrid>
      <w:tr>
        <w:trPr/>
        <w:tc>
          <w:tcPr>
            <w:tcW w:w="4502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24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18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23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18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26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и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084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</w:tr>
    </w:tbl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/>
      </w:r>
    </w:p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В 202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4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– произошло </w:t>
      </w:r>
      <w:r>
        <w:rPr>
          <w:rFonts w:cs="Times New Roman" w:ascii="Times New Roman" w:hAnsi="Times New Roman"/>
          <w:b/>
          <w:color w:val="0D0D0D"/>
          <w:sz w:val="28"/>
          <w:szCs w:val="28"/>
          <w:lang w:eastAsia="x-none"/>
        </w:rPr>
        <w:t>18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авари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й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, в сравнении с аналогичным периодом 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года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осталось на том же уровне,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а в сравнении с 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годом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снизилась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30,76%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ил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8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ев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.</w:t>
      </w:r>
    </w:p>
    <w:p>
      <w:pPr>
        <w:pStyle w:val="Normal"/>
        <w:widowControl w:val="false"/>
        <w:spacing w:lineRule="exact" w:line="400" w:before="0" w:after="0"/>
        <w:jc w:val="right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</w:r>
    </w:p>
    <w:tbl>
      <w:tblPr>
        <w:tblW w:w="1031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45"/>
        <w:gridCol w:w="1282"/>
        <w:gridCol w:w="2834"/>
        <w:gridCol w:w="4252"/>
      </w:tblGrid>
      <w:tr>
        <w:trPr>
          <w:trHeight w:val="1077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ВСЕГО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по вине персонала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АО «ЮЭСК»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аварии, расследование которых осуществляет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Ростехнадзор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(по п.4. Правил расследования причин аварий в эл/энергетике)</w:t>
            </w:r>
          </w:p>
        </w:tc>
      </w:tr>
      <w:tr>
        <w:trPr>
          <w:trHeight w:val="741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4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3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Распределение аварий по подразделениям АО «ЮЭСК»:</w:t>
      </w:r>
    </w:p>
    <w:tbl>
      <w:tblPr>
        <w:tblW w:w="1032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364"/>
        <w:gridCol w:w="613"/>
        <w:gridCol w:w="641"/>
        <w:gridCol w:w="627"/>
        <w:gridCol w:w="614"/>
        <w:gridCol w:w="614"/>
        <w:gridCol w:w="641"/>
        <w:gridCol w:w="845"/>
        <w:gridCol w:w="846"/>
        <w:gridCol w:w="845"/>
        <w:gridCol w:w="914"/>
        <w:gridCol w:w="859"/>
        <w:gridCol w:w="900"/>
      </w:tblGrid>
      <w:tr>
        <w:trPr>
          <w:trHeight w:val="220" w:hRule="atLeast"/>
          <w:cantSplit w:val="true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tabs>
                <w:tab w:val="clear" w:pos="708"/>
                <w:tab w:val="left" w:pos="1091" w:leader="none"/>
                <w:tab w:val="left" w:pos="1473" w:leader="none"/>
              </w:tabs>
              <w:spacing w:lineRule="exact" w:line="400"/>
              <w:ind w:right="-163" w:hanging="0"/>
              <w:jc w:val="center"/>
              <w:rPr>
                <w:rFonts w:eastAsia="Arial Unicode MS"/>
                <w:b/>
                <w:bCs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Энерго-предприятия</w:t>
            </w:r>
          </w:p>
        </w:tc>
        <w:tc>
          <w:tcPr>
            <w:tcW w:w="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8"/>
              <w:keepNext w:val="false"/>
              <w:widowControl w:val="false"/>
              <w:spacing w:lineRule="exact" w:line="400"/>
              <w:ind w:hanging="0"/>
              <w:jc w:val="center"/>
              <w:rPr>
                <w:bCs w:val="false"/>
                <w:color w:val="0D0D0D"/>
                <w:sz w:val="20"/>
              </w:rPr>
            </w:pPr>
            <w:r>
              <w:rPr>
                <w:bCs w:val="false"/>
                <w:color w:val="0D0D0D"/>
                <w:sz w:val="20"/>
              </w:rPr>
              <w:t>Аварийность</w:t>
            </w:r>
          </w:p>
        </w:tc>
        <w:tc>
          <w:tcPr>
            <w:tcW w:w="253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Недоотпуск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  <w:u w:val="single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электроэнергии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кВт. час) /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6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Экономический ущерб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руб.)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1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spacing w:lineRule="exact" w:line="400"/>
              <w:jc w:val="center"/>
              <w:rPr>
                <w:b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В т.ч.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по вине персонала</w:t>
            </w:r>
          </w:p>
        </w:tc>
        <w:tc>
          <w:tcPr>
            <w:tcW w:w="253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67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22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4</w:t>
            </w:r>
          </w:p>
        </w:tc>
      </w:tr>
      <w:tr>
        <w:trPr>
          <w:trHeight w:val="343" w:hRule="atLeast"/>
          <w:cantSplit w:val="true"/>
        </w:trPr>
        <w:tc>
          <w:tcPr>
            <w:tcW w:w="103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АО «ЮЭСК»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b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b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26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29,825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15,782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17,732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1119,133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711,000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848,824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bookmarkStart w:id="0" w:name="_Toc246939506"/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«ЮЭСК».</w:t>
      </w:r>
    </w:p>
    <w:tbl>
      <w:tblPr>
        <w:tblW w:w="9781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97"/>
        <w:gridCol w:w="1450"/>
        <w:gridCol w:w="1448"/>
        <w:gridCol w:w="1285"/>
      </w:tblGrid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видов оборудования (код)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Линии электропередачи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(3.3.11)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18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12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ПС и ТП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(3.3.13)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5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Устройства релейной защиты и автоматики (3.3.15)</w:t>
            </w:r>
          </w:p>
        </w:tc>
        <w:tc>
          <w:tcPr>
            <w:tcW w:w="1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Другие виды оборудования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(3.3.20)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 в разрезе организационных причин аварий.</w:t>
      </w:r>
    </w:p>
    <w:tbl>
      <w:tblPr>
        <w:tblW w:w="9752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05"/>
        <w:gridCol w:w="1348"/>
        <w:gridCol w:w="1410"/>
        <w:gridCol w:w="1388"/>
      </w:tblGrid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организационных причин аварий (код)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250" w:leader="none"/>
              </w:tabs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Ошибочные или неправильные действия оперативного и (или) диспетчерского персонала  (3.4.1)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Ошиб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очные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 или неправильные действия привлеч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енного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 персонала, выполняющего работы по расчистке от ДКР, вырубке угрожающих деревье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 (3.4.3)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сроков ТО и ремонта оборудования, устройств (3.4.7.1)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объемов ТО и ремонта оборудования, устройств (3.4.7.2)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Несвоевременное выявление и устранение дефектов (3.4.7.3)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нарушения (3.4.7.4)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/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воздействия 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3.4.8.1 -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3.4.8.5)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Внешнее воздействие (3.4.9.1-3.4.9.3, 3.4.10)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Воздействие стихийных явлений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3.4.11, 3.4.12.1 - 3.4.12.5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5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Дефекты конструкции, изготовления, монтажа и наладки оборудования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3.4.13.1 - 3.4.13.4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5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 выявленные причины (3.4.14)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</w:tbl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Выполнение мероприятий по актам расследования причин аварий</w:t>
      </w:r>
    </w:p>
    <w:tbl>
      <w:tblPr>
        <w:tblW w:w="10490" w:type="dxa"/>
        <w:jc w:val="left"/>
        <w:tblInd w:w="-5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noVBand="0" w:noHBand="0" w:lastColumn="0" w:firstColumn="0" w:lastRow="0" w:firstRow="0"/>
      </w:tblPr>
      <w:tblGrid>
        <w:gridCol w:w="3235"/>
        <w:gridCol w:w="1379"/>
        <w:gridCol w:w="1646"/>
        <w:gridCol w:w="1557"/>
        <w:gridCol w:w="2673"/>
      </w:tblGrid>
      <w:tr>
        <w:trPr>
          <w:trHeight w:val="846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highlight w:val="yellow"/>
              </w:rPr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Всего аварий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установленных мероприятий в акте расследования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выполненных мероприятий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невыполненных мероприятий в установленный срок</w:t>
            </w:r>
          </w:p>
        </w:tc>
      </w:tr>
      <w:tr>
        <w:trPr>
          <w:trHeight w:val="688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Всего с начала 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 xml:space="preserve"> года,  из них: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660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электросетевом оборудовании 6-35 кВ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15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29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192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станциях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6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bookmarkStart w:id="1" w:name="_Toc246939506"/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  <w:bookmarkEnd w:id="1"/>
          </w:p>
        </w:tc>
      </w:tr>
    </w:tbl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</w:r>
    </w:p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Не выполненных в установленный срок мероприятий по актам расследования причин аварий за 2024 год — нет.</w:t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Начальник СНПБиОТ</w:t>
        <w:tab/>
        <w:tab/>
        <w:tab/>
        <w:tab/>
        <w:tab/>
        <w:tab/>
        <w:tab/>
        <w:tab/>
        <w:t>В.Л. Семёнов</w:t>
      </w:r>
    </w:p>
    <w:sectPr>
      <w:type w:val="nextPage"/>
      <w:pgSz w:w="11906" w:h="16838"/>
      <w:pgMar w:left="1134" w:right="849" w:gutter="0" w:header="0" w:top="709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Avenir Next Cy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4">
    <w:name w:val="Heading 4"/>
    <w:basedOn w:val="Normal"/>
    <w:next w:val="Normal"/>
    <w:link w:val="4"/>
    <w:qFormat/>
    <w:rsid w:val="00ca0315"/>
    <w:pPr>
      <w:keepNext w:val="true"/>
      <w:spacing w:lineRule="auto" w:line="240" w:before="0" w:after="0"/>
      <w:jc w:val="right"/>
      <w:outlineLvl w:val="3"/>
    </w:pPr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8"/>
    <w:qFormat/>
    <w:rsid w:val="00ca0315"/>
    <w:pPr>
      <w:keepNext w:val="true"/>
      <w:spacing w:lineRule="auto" w:line="240" w:before="0" w:after="0"/>
      <w:ind w:firstLine="709"/>
      <w:outlineLvl w:val="7"/>
    </w:pPr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1d74ae"/>
    <w:rPr>
      <w:color w:val="0563C1" w:themeColor="hyperlink"/>
      <w:u w:val="single"/>
    </w:rPr>
  </w:style>
  <w:style w:type="character" w:styleId="4" w:customStyle="1">
    <w:name w:val="Заголовок 4 Знак"/>
    <w:basedOn w:val="DefaultParagraphFont"/>
    <w:qFormat/>
    <w:rsid w:val="00ca0315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8" w:customStyle="1">
    <w:name w:val="Заголовок 8 Знак"/>
    <w:basedOn w:val="DefaultParagraphFont"/>
    <w:qFormat/>
    <w:rsid w:val="00ca0315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Style7" w:customStyle="1">
    <w:name w:val="Основной текст Знак"/>
    <w:basedOn w:val="DefaultParagraphFont"/>
    <w:uiPriority w:val="99"/>
    <w:semiHidden/>
    <w:qFormat/>
    <w:rsid w:val="00ca0315"/>
    <w:rPr/>
  </w:style>
  <w:style w:type="character" w:styleId="Style8" w:customStyle="1">
    <w:name w:val="Верхний колонтитул Знак"/>
    <w:basedOn w:val="DefaultParagraphFont"/>
    <w:qFormat/>
    <w:rsid w:val="00ca031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" w:customStyle="1">
    <w:name w:val="Основной текст Знак2"/>
    <w:qFormat/>
    <w:locked/>
    <w:rsid w:val="00ca0315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tyle9" w:customStyle="1">
    <w:name w:val="Абзац списка Знак"/>
    <w:link w:val="ListParagraph"/>
    <w:uiPriority w:val="34"/>
    <w:qFormat/>
    <w:locked/>
    <w:rsid w:val="00ca0315"/>
    <w:rPr>
      <w:rFonts w:ascii="Calibri" w:hAnsi="Calibri" w:eastAsia="Calibri" w:cs="Times New Roman"/>
      <w:lang w:val="x-none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BodyText">
    <w:name w:val="Body Text"/>
    <w:basedOn w:val="Normal"/>
    <w:link w:val="2"/>
    <w:rsid w:val="00ca0315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1">
    <w:name w:val="Указатель"/>
    <w:basedOn w:val="Normal"/>
    <w:qFormat/>
    <w:pPr>
      <w:suppressLineNumbers/>
    </w:pPr>
    <w:rPr>
      <w:rFonts w:cs="Lohit Devanagari"/>
    </w:rPr>
  </w:style>
  <w:style w:type="paragraph" w:styleId="Style12">
    <w:name w:val="Колонтитул"/>
    <w:basedOn w:val="Normal"/>
    <w:qFormat/>
    <w:pPr/>
    <w:rPr/>
  </w:style>
  <w:style w:type="paragraph" w:styleId="Header">
    <w:name w:val="Header"/>
    <w:basedOn w:val="Normal"/>
    <w:link w:val="Style8"/>
    <w:rsid w:val="00ca0315"/>
    <w:pPr>
      <w:tabs>
        <w:tab w:val="clear" w:pos="708"/>
        <w:tab w:val="center" w:pos="4153" w:leader="none"/>
        <w:tab w:val="right" w:pos="8306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link w:val="Style9"/>
    <w:uiPriority w:val="34"/>
    <w:qFormat/>
    <w:rsid w:val="00ca0315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lang w:val="x-none"/>
    </w:rPr>
  </w:style>
  <w:style w:type="paragraph" w:styleId="Style13">
    <w:name w:val="Содержимое таблицы"/>
    <w:basedOn w:val="Normal"/>
    <w:qFormat/>
    <w:pPr>
      <w:widowControl w:val="false"/>
      <w:suppressLineNumbers/>
    </w:pPr>
    <w:rPr/>
  </w:style>
  <w:style w:type="paragraph" w:styleId="Style14">
    <w:name w:val="Заголовок таблицы"/>
    <w:basedOn w:val="Style13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f5e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7663-6493-4B3E-95A7-3E932D34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Application>AlterOffice/3.3.1.3$Linux_X86_64 LibreOffice_project/90d829a0d92d6015ad4fa014ce4f460a7fe6c0ba</Application>
  <AppVersion>15.0000</AppVersion>
  <Pages>3</Pages>
  <Words>445</Words>
  <Characters>2696</Characters>
  <CharactersWithSpaces>3091</CharactersWithSpaces>
  <Paragraphs>157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2020-05-27T20:44:00Z</dcterms:created>
  <dc:creator>Design 4</dc:creator>
  <dc:description/>
  <dc:language>ru-RU</dc:language>
  <cp:lastModifiedBy>maksyukov_af</cp:lastModifiedBy>
  <dcterms:modified xsi:type="dcterms:W3CDTF">2025-03-10T16:24:07Z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